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BE" w:rsidRDefault="00BF5AB3">
      <w:pPr>
        <w:jc w:val="center"/>
      </w:pPr>
      <w:r>
        <w:t xml:space="preserve">Муниципальное казённое дошкольное образовательное учреждение </w:t>
      </w:r>
      <w:proofErr w:type="spellStart"/>
      <w:r>
        <w:t>Искитимского</w:t>
      </w:r>
      <w:proofErr w:type="spellEnd"/>
      <w:r>
        <w:t xml:space="preserve"> района Новосибирской области детский сад комбинированного вида «Красная шапочка» 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Линёво</w:t>
      </w:r>
      <w:proofErr w:type="spellEnd"/>
    </w:p>
    <w:p w:rsidR="00EF2FBE" w:rsidRDefault="00EF2FBE"/>
    <w:p w:rsidR="00EF2FBE" w:rsidRDefault="00EF2FBE"/>
    <w:p w:rsidR="00EF2FBE" w:rsidRDefault="00EF2FBE"/>
    <w:p w:rsidR="00EF2FBE" w:rsidRDefault="00EF2FBE"/>
    <w:p w:rsidR="00EF2FBE" w:rsidRDefault="00EF2FBE"/>
    <w:p w:rsidR="00EF2FBE" w:rsidRDefault="00EF2FBE"/>
    <w:p w:rsidR="00EF2FBE" w:rsidRDefault="00BF5AB3">
      <w:pPr>
        <w:spacing w:before="120" w:after="120"/>
        <w:jc w:val="center"/>
      </w:pPr>
      <w:r>
        <w:rPr>
          <w:caps/>
          <w:sz w:val="44"/>
          <w:szCs w:val="44"/>
        </w:rPr>
        <w:t>Доклад</w:t>
      </w:r>
    </w:p>
    <w:p w:rsidR="00EF2FBE" w:rsidRDefault="00BF5AB3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:rsidR="00EF2FBE" w:rsidRDefault="00BF5AB3">
      <w:pPr>
        <w:spacing w:after="120"/>
        <w:jc w:val="center"/>
      </w:pPr>
      <w:r>
        <w:rPr>
          <w:b/>
          <w:bCs/>
          <w:sz w:val="36"/>
          <w:szCs w:val="36"/>
        </w:rPr>
        <w:t>«Развивающая предметно - пространственная среда для ознакомления дошкольников с профессиями»</w:t>
      </w:r>
    </w:p>
    <w:p w:rsidR="00EF2FBE" w:rsidRDefault="00EF2FBE"/>
    <w:p w:rsidR="00EF2FBE" w:rsidRDefault="00EF2FBE"/>
    <w:p w:rsidR="00EF2FBE" w:rsidRDefault="00EF2FBE"/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3668"/>
      </w:tblGrid>
      <w:tr w:rsidR="00EF2FBE">
        <w:tc>
          <w:tcPr>
            <w:tcW w:w="6379" w:type="dxa"/>
            <w:noWrap/>
          </w:tcPr>
          <w:p w:rsidR="00EF2FBE" w:rsidRDefault="00EF2FBE"/>
        </w:tc>
        <w:tc>
          <w:tcPr>
            <w:tcW w:w="3668" w:type="dxa"/>
            <w:noWrap/>
          </w:tcPr>
          <w:p w:rsidR="00EF2FBE" w:rsidRDefault="00BF5AB3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Выполнила:</w:t>
            </w:r>
          </w:p>
          <w:p w:rsidR="00EF2FBE" w:rsidRDefault="00BF5AB3">
            <w:pPr>
              <w:spacing w:before="40" w:after="40"/>
            </w:pPr>
            <w:r>
              <w:rPr>
                <w:sz w:val="28"/>
                <w:szCs w:val="28"/>
                <w:lang w:val="en-US"/>
              </w:rPr>
              <w:t>Мечкова</w:t>
            </w:r>
            <w:r>
              <w:rPr>
                <w:sz w:val="28"/>
                <w:szCs w:val="28"/>
              </w:rPr>
              <w:t xml:space="preserve"> Нина Евгеньевна</w:t>
            </w:r>
          </w:p>
          <w:p w:rsidR="00EF2FBE" w:rsidRDefault="00EF2FBE"/>
          <w:p w:rsidR="00EF2FBE" w:rsidRDefault="00EF2FBE"/>
        </w:tc>
      </w:tr>
    </w:tbl>
    <w:p w:rsidR="00EF2FBE" w:rsidRDefault="00EF2FBE"/>
    <w:p w:rsidR="00EF2FBE" w:rsidRDefault="00EF2FBE"/>
    <w:p w:rsidR="00EF2FBE" w:rsidRDefault="00EF2FBE"/>
    <w:p w:rsidR="00EF2FBE" w:rsidRDefault="00EF2FBE"/>
    <w:p w:rsidR="00EF2FBE" w:rsidRDefault="00EF2FBE"/>
    <w:p w:rsidR="00EF2FBE" w:rsidRDefault="00EF2FBE"/>
    <w:p w:rsidR="00EF2FBE" w:rsidRDefault="00EF2FBE"/>
    <w:p w:rsidR="00EF2FBE" w:rsidRDefault="00EF2FBE"/>
    <w:p w:rsidR="00EF2FBE" w:rsidRDefault="00EF2FBE"/>
    <w:p w:rsidR="00EF2FBE" w:rsidRDefault="00EF2FBE"/>
    <w:p w:rsidR="00EF2FBE" w:rsidRDefault="00EF2FBE"/>
    <w:p w:rsidR="00EF2FBE" w:rsidRDefault="00EF2FBE"/>
    <w:p w:rsidR="00EF2FBE" w:rsidRDefault="00BF5AB3">
      <w:pPr>
        <w:spacing w:before="40" w:after="40"/>
        <w:jc w:val="center"/>
      </w:pPr>
      <w:proofErr w:type="gramStart"/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  <w:proofErr w:type="gramEnd"/>
    </w:p>
    <w:p w:rsidR="00EF2FBE" w:rsidRDefault="00EF2FBE"/>
    <w:p w:rsidR="00EF2FBE" w:rsidRDefault="00EF2FBE">
      <w:pPr>
        <w:sectPr w:rsidR="00EF2FBE" w:rsidSect="000F3DE7">
          <w:pgSz w:w="11900" w:h="16840"/>
          <w:pgMar w:top="720" w:right="720" w:bottom="720" w:left="720" w:header="708" w:footer="708" w:gutter="0"/>
          <w:cols w:space="720"/>
          <w:docGrid w:linePitch="299"/>
        </w:sectPr>
      </w:pPr>
    </w:p>
    <w:p w:rsidR="00EF2FBE" w:rsidRDefault="00BF5AB3" w:rsidP="0081020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Современное общество предъявляет высокие требования к подготовке подрастающего поколения, особенно в контексте формирования у детей осознанного отношения к труду и понимания значимости различных профессий. В этом контексте особую актуальность приобретает создание развивающей предметно -</w:t>
      </w:r>
      <w:r w:rsidR="00F1603D">
        <w:rPr>
          <w:sz w:val="28"/>
        </w:rPr>
        <w:t xml:space="preserve"> </w:t>
      </w:r>
      <w:r>
        <w:rPr>
          <w:sz w:val="28"/>
        </w:rPr>
        <w:t>пространственной среды, которая служит эффективным инструментом для ознакомления дошкольников с миром профессий. Дошкольный возраст является критически важным периодом для формирования интересов, установок и представлений о будущем, поэтому задача педагогов и родителей заключается в том, чтобы создать условия, способствующие развитию у детей познавательной активности и интереса к труду.</w:t>
      </w:r>
    </w:p>
    <w:p w:rsidR="00EF2FBE" w:rsidRDefault="00BF5AB3" w:rsidP="0081020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Развивающая предметно -</w:t>
      </w:r>
      <w:r w:rsidR="00F1603D">
        <w:rPr>
          <w:sz w:val="28"/>
        </w:rPr>
        <w:t xml:space="preserve"> </w:t>
      </w:r>
      <w:r>
        <w:rPr>
          <w:sz w:val="28"/>
        </w:rPr>
        <w:t xml:space="preserve">пространственная среда представляет собой специально организованное пространство, в котором дети могут взаимодействовать с различными предметами, играми и материалами, отражающими разнообразие профессий. </w:t>
      </w:r>
    </w:p>
    <w:p w:rsidR="00EF2FBE" w:rsidRDefault="00BF5AB3" w:rsidP="00810204">
      <w:pPr>
        <w:spacing w:line="360" w:lineRule="auto"/>
        <w:jc w:val="both"/>
        <w:sectPr w:rsidR="00EF2FBE" w:rsidSect="000F3DE7">
          <w:footerReference w:type="default" r:id="rId7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28"/>
        </w:rPr>
        <w:t xml:space="preserve">    Важно отметить, что через игру и взаимодействие с предметами, отражающими трудовые процессы, дети не только развивают свои познавательные способности, но и формируют эмоциональное отношение к труду, что является основой для дальнейшего профессионального самоопределения.  Игра является естественной формой деятельности для детей, и именно в процессе игры они могут осваивать различные роли, взаимодействовать с окружающим миром и получать новые знания и развивать речь</w:t>
      </w:r>
      <w:r w:rsidR="008D2DF1">
        <w:rPr>
          <w:sz w:val="28"/>
        </w:rPr>
        <w:t>.</w:t>
      </w:r>
    </w:p>
    <w:p w:rsidR="00EF2FBE" w:rsidRDefault="00BF5AB3">
      <w:pPr>
        <w:pStyle w:val="1"/>
      </w:pPr>
      <w:bookmarkStart w:id="0" w:name="_Toc2"/>
      <w:r>
        <w:lastRenderedPageBreak/>
        <w:t>Профессии в жизни дошкольников</w:t>
      </w:r>
      <w:bookmarkEnd w:id="0"/>
    </w:p>
    <w:p w:rsidR="00EF2FBE" w:rsidRDefault="00BF5AB3">
      <w:pPr>
        <w:pStyle w:val="paragraphStyleText"/>
        <w:ind w:firstLine="0"/>
      </w:pPr>
      <w:r>
        <w:rPr>
          <w:rStyle w:val="fontStyleText"/>
        </w:rPr>
        <w:t xml:space="preserve">В мире взрослых профессии занимают важное место, они определяют социальную структуру, развивают экономику и формируют общественные отношения. Для дошкольников, осваивающих окружающую действительность, понимание профессий является первостепенной задачей. В этом возрасте </w:t>
      </w:r>
      <w:proofErr w:type="gramStart"/>
      <w:r>
        <w:rPr>
          <w:rStyle w:val="fontStyleText"/>
        </w:rPr>
        <w:t>дети</w:t>
      </w:r>
      <w:proofErr w:type="gramEnd"/>
      <w:r>
        <w:rPr>
          <w:rStyle w:val="fontStyleText"/>
        </w:rPr>
        <w:t xml:space="preserve"> безусловно чувствуют любопытство и интерес к деятельности взрослых, стремясь освоить их навыки через игру и взаимодействие.</w:t>
      </w:r>
    </w:p>
    <w:p w:rsidR="00EF2FBE" w:rsidRDefault="00BF5AB3">
      <w:pPr>
        <w:pStyle w:val="paragraphStyleText"/>
      </w:pPr>
      <w:r>
        <w:rPr>
          <w:rStyle w:val="fontStyleText"/>
        </w:rPr>
        <w:t>Профессии для дошкольников становятся не только объектом любопытства, но и способом самоидентификации. Через обращение к различным видам деятельности, дети начинают осознавать, что каждый человек вносит свой вклад в общество, выполняя определённые функции. Это понимание способствует формированию позитивного отношения к труду и развивает уважение к различным специальностям. Особенно важно, чтобы дети могли увидеть труд не только как обязательство, но и как источник радости, творчества и самовыражения.</w:t>
      </w:r>
    </w:p>
    <w:p w:rsidR="00EF2FBE" w:rsidRDefault="00BF5AB3">
      <w:pPr>
        <w:pStyle w:val="paragraphStyleText"/>
      </w:pPr>
      <w:r>
        <w:rPr>
          <w:rStyle w:val="fontStyleText"/>
        </w:rPr>
        <w:t>Формирование представлений о профессиях может быть реализовано через несколько ключевых способов. В первую очередь, это ролевые игры, где дети воссоздают трудовые процессы, принимая на себя различные роли. Например, играя в "магазин", дети осваивают работу продавца, а в "больнице" — врача. Такие игры помогают не только понимать специфические навыки необходимых профессий, но и учат взаимодействию и сотрудничеству.</w:t>
      </w:r>
    </w:p>
    <w:p w:rsidR="00EF2FBE" w:rsidRDefault="00BF5AB3">
      <w:pPr>
        <w:pStyle w:val="paragraphStyleText"/>
      </w:pPr>
      <w:r>
        <w:rPr>
          <w:rStyle w:val="fontStyleText"/>
        </w:rPr>
        <w:t>Совместные экскурсии и встречи с представителями различных профессий — ещё один эффективный метод. Прямое взаимодействие с людьми, работающими в разных сферах, способно пробудить интерес и расширить кругозор. Дети задают вопросы, узнают о доступных для них путях развития и возможностях для будущего выбора профессии.</w:t>
      </w:r>
    </w:p>
    <w:p w:rsidR="00EF2FBE" w:rsidRDefault="00BF5AB3">
      <w:pPr>
        <w:pStyle w:val="paragraphStyleText"/>
      </w:pPr>
      <w:r>
        <w:rPr>
          <w:rStyle w:val="fontStyleText"/>
        </w:rPr>
        <w:t>Книги и мультфильмы о профессиях также выступают отличным дополняющим ресурсом. Истории и сюжеты с реальными примерами позволяют детям более глубоко понять, какие трудности и радости могут быть на рабочем пути, а также какие качества и навыки необходимы для выполнения той или иной работы. Визуальные и аудиовизуальные материалы способны дополнить и обогатить восприятие, создавая наглядные образы трудовой жизни.</w:t>
      </w:r>
    </w:p>
    <w:p w:rsidR="00EF2FBE" w:rsidRDefault="00BF5AB3">
      <w:pPr>
        <w:pStyle w:val="paragraphStyleText"/>
      </w:pPr>
      <w:r>
        <w:rPr>
          <w:rStyle w:val="fontStyleText"/>
        </w:rPr>
        <w:lastRenderedPageBreak/>
        <w:t>Работа в развивающей предметно - пространственной среде может помочь организовать знакомство дошкольников с профессиями на новом уровне. Плавная интеграция знаний о профессиях в разнообразные организованные занятия и игровую деятельность создаёт полное представление о трудовой жизни. Ребёнок, погружаясь в предметную среду, получает возможность не только непосредственно, но и символически взаимодействовать с разными профессиями.</w:t>
      </w:r>
    </w:p>
    <w:p w:rsidR="00EF2FBE" w:rsidRDefault="00BF5AB3">
      <w:pPr>
        <w:pStyle w:val="paragraphStyleText"/>
        <w:sectPr w:rsidR="00EF2FBE" w:rsidSect="000F3DE7">
          <w:footerReference w:type="default" r:id="rId8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  <w:r>
        <w:rPr>
          <w:rStyle w:val="fontStyleText"/>
        </w:rPr>
        <w:t>Наконец, важно не забывать о значении игры в этом процессе. Игра — это основной способ, которым дети усваивают информацию и навыки. Используя игровые элементы, процесс ознакомления с   профессиями становиться наиболее  привлекательным и увлекательным, обеспечивая эффективное запоминание и осознание информации. Подобный подход создаёт благоприятные условия для дальнейшего глубокого изучения мира профессий.</w:t>
      </w:r>
    </w:p>
    <w:p w:rsidR="00EF2FBE" w:rsidRDefault="00BF5AB3">
      <w:pPr>
        <w:pStyle w:val="paragraphStyleText"/>
        <w:ind w:firstLine="0"/>
      </w:pPr>
      <w:r>
        <w:rPr>
          <w:rStyle w:val="fontStyleText"/>
        </w:rPr>
        <w:lastRenderedPageBreak/>
        <w:t>Игровая деятельность представляет собой важный аспект в развитии интереса к труду у детей дошкольного возраста. Игра позволяет детям естественным образом погружаться в различные роли, примыкающие к профессиям, что способствует формированию их представлений о мире труда и укрепляет навыки, необходимые для взаимодействия с окружающей действительностью. Преимущество игры заключается в том, что в процессе активного действия и общения дети могут экспериментировать, пробовать на себе разные профессии, выбирая для себя самые привлекательные.</w:t>
      </w:r>
    </w:p>
    <w:p w:rsidR="00EF2FBE" w:rsidRDefault="00BF5AB3">
      <w:pPr>
        <w:pStyle w:val="paragraphStyleText"/>
      </w:pPr>
      <w:r>
        <w:rPr>
          <w:rStyle w:val="fontStyleText"/>
        </w:rPr>
        <w:t xml:space="preserve">Существует множество игровых форматов, в которых можно познакомить детей с разнообразными профессиями. Профессии, связанные с медициной, можно воплотить в играх об игре в "больницу", где дети принимают на себя роли врачей и пациентов. Это даёт возможность не только познать основы о здоровье и уходе за ним, но и развивает навыки общения и </w:t>
      </w:r>
      <w:proofErr w:type="spellStart"/>
      <w:r>
        <w:rPr>
          <w:rStyle w:val="fontStyleText"/>
        </w:rPr>
        <w:t>эмпатии</w:t>
      </w:r>
      <w:proofErr w:type="spellEnd"/>
      <w:r>
        <w:rPr>
          <w:rStyle w:val="fontStyleText"/>
        </w:rPr>
        <w:t>. К примеру, "врачебный набор" с игрушечными инструментами может стать основой для подобной игры. Дети, играя, учатся заботиться друг о друге и направляют свои действия не только на выполнение ролей, но и на развитие гуманистических ценностей.</w:t>
      </w:r>
    </w:p>
    <w:p w:rsidR="00EF2FBE" w:rsidRDefault="00BF5AB3">
      <w:pPr>
        <w:pStyle w:val="paragraphStyleText"/>
      </w:pPr>
      <w:r>
        <w:rPr>
          <w:rStyle w:val="fontStyleText"/>
        </w:rPr>
        <w:t>Не менее интересными являются роли, связанные с профессиями "строителя" и "архитектора". Игра в "строительство" позволяет детям взаимодействовать с различными строительными материалами, создавая модели зданий и сооружений. Этот процесс не только развивает пространственное мышление, но и знакомит с основными инструментами и материалами, которые используют строители в своей работе. Использование конструктора или строительных блоков становится основным элементом для формирования представления о строительных профессиях.</w:t>
      </w:r>
    </w:p>
    <w:p w:rsidR="00EF2FBE" w:rsidRDefault="00BF5AB3">
      <w:pPr>
        <w:pStyle w:val="paragraphStyleText"/>
      </w:pPr>
      <w:r>
        <w:rPr>
          <w:rStyle w:val="fontStyleText"/>
        </w:rPr>
        <w:t>Важным направлением также является игра в "магазин". Здесь дети могут взять на себя роли продавцов, покупателей, курьеров, что позволяет не только знакомиться с профессией, но и развивать математические навыки, навыки общения и сотрудничества. Ролевые игры на основе повседневной жизни взрослых помогают детям осознать практическую ценность работы, формируя положительное отношение к труду и понимание необходимости разных профессий в обществе.</w:t>
      </w:r>
    </w:p>
    <w:p w:rsidR="00EF2FBE" w:rsidRDefault="00BF5AB3">
      <w:pPr>
        <w:pStyle w:val="paragraphStyleText"/>
      </w:pPr>
      <w:r>
        <w:rPr>
          <w:rStyle w:val="fontStyleText"/>
        </w:rPr>
        <w:t xml:space="preserve">Организация подобных игр требует присутствия не только игровой атрибутики, но и тщательно подобранных материалов, которые помогут восполнить игровые ситуации реальными атрибутами труда. Таким образом, как результат, игра в </w:t>
      </w:r>
      <w:r>
        <w:rPr>
          <w:rStyle w:val="fontStyleText"/>
        </w:rPr>
        <w:lastRenderedPageBreak/>
        <w:t>профессии становится основой для создания глубинных интересов к тому или иному виду деятельности.</w:t>
      </w:r>
    </w:p>
    <w:p w:rsidR="00EF2FBE" w:rsidRPr="00810204" w:rsidRDefault="00BF5AB3" w:rsidP="005D1E15">
      <w:pPr>
        <w:pStyle w:val="paragraphStyleText"/>
        <w:sectPr w:rsidR="00EF2FBE" w:rsidRPr="00810204" w:rsidSect="000F3DE7">
          <w:footerReference w:type="default" r:id="rId9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  <w:r>
        <w:rPr>
          <w:rStyle w:val="fontStyleText"/>
        </w:rPr>
        <w:t>Постепенно игре можно привнести новые элементы через развитие предметно-пространственной среды, которая предоставит разнообразные материалы и ресурсный потенциал для активного изучения профессий. Это создаст еще больше возможностей для детей, чтобы развивать свои интересы, делая обучение не только информативным, но и увлекательным. Важно, чтобы дети имели возможность охватывать и расширять свои знания об</w:t>
      </w:r>
      <w:r w:rsidR="00F1603D">
        <w:rPr>
          <w:rStyle w:val="fontStyleText"/>
        </w:rPr>
        <w:t xml:space="preserve"> окружающем мире через конте</w:t>
      </w:r>
      <w:proofErr w:type="gramStart"/>
      <w:r w:rsidR="00F1603D">
        <w:rPr>
          <w:rStyle w:val="fontStyleText"/>
        </w:rPr>
        <w:t>кст</w:t>
      </w:r>
      <w:r w:rsidR="00FD632D">
        <w:rPr>
          <w:rStyle w:val="fontStyleText"/>
        </w:rPr>
        <w:t xml:space="preserve"> </w:t>
      </w:r>
      <w:r>
        <w:rPr>
          <w:rStyle w:val="fontStyleText"/>
        </w:rPr>
        <w:t>пр</w:t>
      </w:r>
      <w:proofErr w:type="gramEnd"/>
      <w:r>
        <w:rPr>
          <w:rStyle w:val="fontStyleText"/>
        </w:rPr>
        <w:t>едметно-пространственной среды, что становится следующим шагом в организации работы по ознакомл</w:t>
      </w:r>
      <w:r w:rsidR="008F531E">
        <w:rPr>
          <w:rStyle w:val="fontStyleText"/>
        </w:rPr>
        <w:t>ению дошкольников с профессиями.</w:t>
      </w:r>
    </w:p>
    <w:p w:rsidR="00EF2FBE" w:rsidRDefault="000F3DE7" w:rsidP="00810204">
      <w:pPr>
        <w:pStyle w:val="paragraphStyleText"/>
        <w:ind w:firstLine="0"/>
      </w:pPr>
      <w:r>
        <w:rPr>
          <w:rStyle w:val="fontStyleText"/>
        </w:rPr>
        <w:lastRenderedPageBreak/>
        <w:t xml:space="preserve">     </w:t>
      </w:r>
      <w:r w:rsidR="00BF5AB3">
        <w:rPr>
          <w:rStyle w:val="fontStyleText"/>
        </w:rPr>
        <w:t>Развивающая предметно-пространственная среда представляет собой систему, которая включает в себя физическое пространство, оборудование и информационные ресурсы, создающие условия для активной познавательной деятельности дошкольников. Такой подход предполагает не только использование разнообразных материалов и предметов, но и их расположение, способствующее свободному выбору ребенком активности и взаимодействию с окружающим миром. Среда формируется на основе целевых задач, стоящих перед образовательным процессом, и помогает детям осваивать и знакомиться с окружающей их действительностью, в том числе с разными профессиями.</w:t>
      </w:r>
    </w:p>
    <w:p w:rsidR="00EF2FBE" w:rsidRDefault="00BF5AB3">
      <w:pPr>
        <w:pStyle w:val="paragraphStyleText"/>
      </w:pPr>
      <w:r>
        <w:rPr>
          <w:rStyle w:val="fontStyleText"/>
        </w:rPr>
        <w:t>Основные компоненты развивающей предметно-пространственной среды включают организацию пространства, наличие разнообразных материалов, структурирование зон активности и создание ситуаций для общения и взаимодействия. Пространственная организация должна способствовать удобству передвижения детей и доступу к различным видам деятельности. Например, наличие специальных зон, таких как «Кулинария», «Магазин», «Мастерская», помогает сделать процесс обучения более структурированным. Каждая из таких зон содержит соответствующее оборудование, инструменты и игрушки, которые обращают внимание детей на определенные профессии и виды деятельности.</w:t>
      </w:r>
    </w:p>
    <w:p w:rsidR="00EF2FBE" w:rsidRDefault="00BF5AB3">
      <w:pPr>
        <w:pStyle w:val="paragraphStyleText"/>
      </w:pPr>
      <w:r>
        <w:rPr>
          <w:rStyle w:val="fontStyleText"/>
        </w:rPr>
        <w:t>Например, в зоне «Магазин»  разместили  игрушечные продукты, деньги и кассовый аппарат, что способствует практическому усвоению основ торговли и финансовой грамотности. В «Мастерской» превалируют строительные материалы, инструменты и проектные задания, позволяющие детям экспериментировать с созданием конструкций и знакомиться с профессиями строителей и архитекторов. Таким образом, каждая зона становится мини-моделью реального мира, что позволяет детям не только изучать различные профессии, но и на практике осваивать связанные с ними навыки.</w:t>
      </w:r>
    </w:p>
    <w:p w:rsidR="00EF2FBE" w:rsidRDefault="00BF5AB3">
      <w:pPr>
        <w:pStyle w:val="paragraphStyleText"/>
      </w:pPr>
      <w:r>
        <w:rPr>
          <w:rStyle w:val="fontStyleText"/>
        </w:rPr>
        <w:t xml:space="preserve">Такой подход создает благотворную атмосферу для самовыражения и взаимодействия. Среда должна поддерживать инициативу детей, предлагать возможности для творческого самовыражения, организовывать групповые и индивидуальные занятия. Педагоги играют ключевую роль в создании развивающего </w:t>
      </w:r>
      <w:r>
        <w:rPr>
          <w:rStyle w:val="fontStyleText"/>
        </w:rPr>
        <w:lastRenderedPageBreak/>
        <w:t>прост</w:t>
      </w:r>
      <w:r w:rsidR="00F1603D">
        <w:rPr>
          <w:rStyle w:val="fontStyleText"/>
        </w:rPr>
        <w:t>р</w:t>
      </w:r>
      <w:r>
        <w:rPr>
          <w:rStyle w:val="fontStyleText"/>
        </w:rPr>
        <w:t>анства, уделяя внимание формированию интересной и безопасной обстановки, где дети могут свободно исследовать и познавать.</w:t>
      </w:r>
    </w:p>
    <w:p w:rsidR="00EF2FBE" w:rsidRDefault="00BF5AB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В нашей группе мы организовали игру </w:t>
      </w:r>
      <w:r w:rsidR="003F7F8E">
        <w:rPr>
          <w:sz w:val="28"/>
        </w:rPr>
        <w:t>«</w:t>
      </w:r>
      <w:r>
        <w:rPr>
          <w:sz w:val="28"/>
        </w:rPr>
        <w:t>Дом моделей</w:t>
      </w:r>
      <w:r w:rsidR="003F7F8E">
        <w:rPr>
          <w:sz w:val="28"/>
        </w:rPr>
        <w:t>»</w:t>
      </w:r>
      <w:r>
        <w:rPr>
          <w:sz w:val="28"/>
        </w:rPr>
        <w:t>, в ходе игры дети познакомились с профессией модельер и ее  историей. В качестве моделей мы использовали бумажных кукол, они легкие и изящные для таких кукол можно создавать множество нарядов, разыгрывать различные сюжеты «Принцесса на балу», «День рождения», «Поездка на море».</w:t>
      </w:r>
      <w:r w:rsidR="008F531E">
        <w:rPr>
          <w:sz w:val="28"/>
        </w:rPr>
        <w:t xml:space="preserve"> Также ребята создали альбомы с эскизами будущих моделей одежды. </w:t>
      </w:r>
      <w:r>
        <w:rPr>
          <w:sz w:val="28"/>
        </w:rPr>
        <w:t xml:space="preserve">Первые бумажные куклы сначала использовали не для игры. В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веке с их помощью демонстрировали новые модели платьев и шляп. Только в начале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бумажные куклы стали игрушками.</w:t>
      </w:r>
    </w:p>
    <w:p w:rsidR="00EF2FBE" w:rsidRDefault="00BF5AB3" w:rsidP="0081020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ходе игры научили </w:t>
      </w:r>
      <w:proofErr w:type="gramStart"/>
      <w:r>
        <w:rPr>
          <w:sz w:val="28"/>
        </w:rPr>
        <w:t>детей</w:t>
      </w:r>
      <w:proofErr w:type="gramEnd"/>
      <w:r>
        <w:rPr>
          <w:sz w:val="28"/>
        </w:rPr>
        <w:t xml:space="preserve"> как изготовить куклу из картона,  одежду для кукол. Предложили детям различные сюжеты игры «Куколка идет гулять», «Куклы разных профессий</w:t>
      </w:r>
      <w:r w:rsidR="003936DE">
        <w:rPr>
          <w:sz w:val="28"/>
        </w:rPr>
        <w:t>»</w:t>
      </w:r>
      <w:r>
        <w:rPr>
          <w:sz w:val="28"/>
        </w:rPr>
        <w:t>, «Спортивная одежда». Оформили выставку бумажных кукол для детей других групп и родителей.</w:t>
      </w:r>
    </w:p>
    <w:p w:rsidR="00EF2FBE" w:rsidRDefault="00BF5AB3">
      <w:pPr>
        <w:spacing w:line="360" w:lineRule="auto"/>
        <w:rPr>
          <w:b/>
          <w:bCs/>
          <w:sz w:val="28"/>
        </w:rPr>
      </w:pPr>
      <w:bookmarkStart w:id="1" w:name="_Toc6"/>
      <w:r>
        <w:rPr>
          <w:b/>
          <w:bCs/>
          <w:sz w:val="28"/>
        </w:rPr>
        <w:t>Заключение</w:t>
      </w:r>
      <w:bookmarkEnd w:id="1"/>
    </w:p>
    <w:p w:rsidR="00EF2FBE" w:rsidRPr="005D1E15" w:rsidRDefault="000F3DE7" w:rsidP="005D1E15">
      <w:pPr>
        <w:spacing w:line="360" w:lineRule="auto"/>
        <w:jc w:val="both"/>
        <w:rPr>
          <w:sz w:val="28"/>
        </w:rPr>
        <w:sectPr w:rsidR="00EF2FBE" w:rsidRPr="005D1E15" w:rsidSect="000F3DE7">
          <w:footerReference w:type="default" r:id="rId10"/>
          <w:pgSz w:w="11905" w:h="16837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28"/>
        </w:rPr>
        <w:t xml:space="preserve">     </w:t>
      </w:r>
      <w:bookmarkStart w:id="2" w:name="_GoBack"/>
      <w:bookmarkEnd w:id="2"/>
      <w:r w:rsidR="00BF5AB3">
        <w:rPr>
          <w:sz w:val="28"/>
        </w:rPr>
        <w:t>Потенциальное влияние развивающей предметно-пространственной среды на формирование позитивных установок к труду невозможно переоценить. Дети, которые имеют возможность взаимодействовать с профессия</w:t>
      </w:r>
      <w:r w:rsidR="008F531E">
        <w:rPr>
          <w:sz w:val="28"/>
        </w:rPr>
        <w:t xml:space="preserve">ми через игру, становятся </w:t>
      </w:r>
      <w:proofErr w:type="gramStart"/>
      <w:r w:rsidR="008F531E">
        <w:rPr>
          <w:sz w:val="28"/>
        </w:rPr>
        <w:t xml:space="preserve">более </w:t>
      </w:r>
      <w:r w:rsidR="00BF5AB3">
        <w:rPr>
          <w:sz w:val="28"/>
        </w:rPr>
        <w:t>мотивированными</w:t>
      </w:r>
      <w:proofErr w:type="gramEnd"/>
      <w:r w:rsidR="00BF5AB3">
        <w:rPr>
          <w:sz w:val="28"/>
        </w:rPr>
        <w:t xml:space="preserve"> и заинтересованными в изучении различных направлений. Они начинают осознавать, что труд — это не только необходимость, но и возможность реализовать свои мечты и идеи. Это понимание может стать основой для их будущих </w:t>
      </w:r>
      <w:r w:rsidR="005D1E15">
        <w:rPr>
          <w:sz w:val="28"/>
        </w:rPr>
        <w:t>выборов и карьерных устремлений.</w:t>
      </w:r>
    </w:p>
    <w:p w:rsidR="00EF2FBE" w:rsidRDefault="00EF2FBE">
      <w:pPr>
        <w:sectPr w:rsidR="00EF2FBE">
          <w:footerReference w:type="default" r:id="rId11"/>
          <w:pgSz w:w="11905" w:h="16837"/>
          <w:pgMar w:top="1133" w:right="566" w:bottom="1133" w:left="1700" w:header="720" w:footer="720" w:gutter="0"/>
          <w:cols w:space="720"/>
        </w:sectPr>
      </w:pPr>
    </w:p>
    <w:p w:rsidR="00EF2FBE" w:rsidRDefault="00EF2FBE">
      <w:pPr>
        <w:sectPr w:rsidR="00EF2FBE">
          <w:footerReference w:type="default" r:id="rId12"/>
          <w:pgSz w:w="11905" w:h="16837"/>
          <w:pgMar w:top="1133" w:right="566" w:bottom="1133" w:left="1700" w:header="720" w:footer="720" w:gutter="0"/>
          <w:cols w:space="720"/>
        </w:sectPr>
      </w:pPr>
    </w:p>
    <w:p w:rsidR="00EF2FBE" w:rsidRDefault="00EF2FBE">
      <w:pPr>
        <w:pStyle w:val="paragraphStyleText"/>
      </w:pPr>
    </w:p>
    <w:p w:rsidR="00EF2FBE" w:rsidRDefault="00EF2FBE">
      <w:pPr>
        <w:pStyle w:val="paragraphStyleText"/>
      </w:pPr>
    </w:p>
    <w:sectPr w:rsidR="00EF2FBE">
      <w:footerReference w:type="default" r:id="rId13"/>
      <w:pgSz w:w="11905" w:h="16837"/>
      <w:pgMar w:top="1133" w:right="566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D1" w:rsidRDefault="00BF5AB3">
      <w:pPr>
        <w:spacing w:after="0"/>
      </w:pPr>
      <w:r>
        <w:separator/>
      </w:r>
    </w:p>
  </w:endnote>
  <w:endnote w:type="continuationSeparator" w:id="0">
    <w:p w:rsidR="003A18D1" w:rsidRDefault="00BF5A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BE" w:rsidRDefault="00BF5AB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F3DE7">
      <w:rPr>
        <w:rStyle w:val="fontStyleText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BE" w:rsidRDefault="00BF5AB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F3DE7">
      <w:rPr>
        <w:rStyle w:val="fontStyleText"/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BE" w:rsidRDefault="00BF5AB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F3DE7">
      <w:rPr>
        <w:rStyle w:val="fontStyleText"/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BE" w:rsidRDefault="00BF5AB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F3DE7">
      <w:rPr>
        <w:rStyle w:val="fontStyleText"/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BE" w:rsidRDefault="00BF5AB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F3DE7">
      <w:rPr>
        <w:rStyle w:val="fontStyleText"/>
        <w:noProof/>
      </w:rPr>
      <w:t>9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BE" w:rsidRDefault="00BF5AB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F3DE7">
      <w:rPr>
        <w:rStyle w:val="fontStyleText"/>
        <w:noProof/>
      </w:rPr>
      <w:t>10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BE" w:rsidRDefault="00BF5AB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F3DE7">
      <w:rPr>
        <w:rStyle w:val="fontStyleText"/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BE" w:rsidRDefault="00BF5AB3">
      <w:pPr>
        <w:spacing w:after="0"/>
      </w:pPr>
      <w:r>
        <w:separator/>
      </w:r>
    </w:p>
  </w:footnote>
  <w:footnote w:type="continuationSeparator" w:id="0">
    <w:p w:rsidR="00EF2FBE" w:rsidRDefault="00BF5A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7D5EA4"/>
    <w:rsid w:val="000A406A"/>
    <w:rsid w:val="000E41D1"/>
    <w:rsid w:val="000F3DE7"/>
    <w:rsid w:val="00202F2D"/>
    <w:rsid w:val="00377927"/>
    <w:rsid w:val="003936DE"/>
    <w:rsid w:val="003A18D1"/>
    <w:rsid w:val="003F7F8E"/>
    <w:rsid w:val="004F29F8"/>
    <w:rsid w:val="005D1E15"/>
    <w:rsid w:val="00637289"/>
    <w:rsid w:val="006F6CF0"/>
    <w:rsid w:val="00740A1B"/>
    <w:rsid w:val="0078245A"/>
    <w:rsid w:val="007D4AEC"/>
    <w:rsid w:val="007D5EA4"/>
    <w:rsid w:val="007F3562"/>
    <w:rsid w:val="00810204"/>
    <w:rsid w:val="00875A15"/>
    <w:rsid w:val="008D2DF1"/>
    <w:rsid w:val="008F531E"/>
    <w:rsid w:val="0096633A"/>
    <w:rsid w:val="00BB5A68"/>
    <w:rsid w:val="00BD3C78"/>
    <w:rsid w:val="00BF5AB3"/>
    <w:rsid w:val="00C750AE"/>
    <w:rsid w:val="00E16B7D"/>
    <w:rsid w:val="00EF2FBE"/>
    <w:rsid w:val="00F1603D"/>
    <w:rsid w:val="00FD632D"/>
    <w:rsid w:val="06A2748E"/>
    <w:rsid w:val="7833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after="160"/>
    </w:pPr>
    <w:rPr>
      <w:rFonts w:eastAsia="Times New Roman"/>
      <w:color w:val="000000"/>
      <w:sz w:val="22"/>
      <w:szCs w:val="22"/>
    </w:rPr>
  </w:style>
  <w:style w:type="paragraph" w:styleId="1">
    <w:name w:val="heading 1"/>
    <w:basedOn w:val="a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qFormat/>
    <w:rPr>
      <w:vertAlign w:val="superscript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table" w:customStyle="1" w:styleId="10">
    <w:name w:val="Обычная таблица1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Колонтитулы"/>
    <w:basedOn w:val="a"/>
    <w:qFormat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8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qFormat/>
    <w:pPr>
      <w:spacing w:after="0"/>
    </w:pPr>
  </w:style>
  <w:style w:type="character" w:customStyle="1" w:styleId="a9">
    <w:name w:val="Нижний колонтитул Знак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Code">
    <w:name w:val="fontStyleCode"/>
    <w:rPr>
      <w:rFonts w:ascii="Courier New" w:eastAsia="Courier New" w:hAnsi="Courier New" w:cs="Courier New"/>
      <w:sz w:val="24"/>
      <w:szCs w:val="24"/>
    </w:rPr>
  </w:style>
  <w:style w:type="paragraph" w:customStyle="1" w:styleId="paragraphStyleCode">
    <w:name w:val="paragraphStyleCode"/>
    <w:basedOn w:val="a"/>
    <w:qFormat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F5F5F5"/>
      <w:spacing w:before="120" w:after="120" w:line="288" w:lineRule="auto"/>
    </w:pPr>
  </w:style>
  <w:style w:type="paragraph" w:customStyle="1" w:styleId="paragraphStylePageNum">
    <w:name w:val="paragraphStylePageNum"/>
    <w:basedOn w:val="a"/>
    <w:qFormat/>
    <w:pPr>
      <w:spacing w:after="100"/>
      <w:jc w:val="right"/>
    </w:pPr>
  </w:style>
  <w:style w:type="paragraph" w:customStyle="1" w:styleId="paragraphStyleText">
    <w:name w:val="paragraphStyleText"/>
    <w:basedOn w:val="a"/>
    <w:qFormat/>
    <w:pPr>
      <w:spacing w:after="0" w:line="360" w:lineRule="auto"/>
      <w:ind w:firstLine="720"/>
      <w:jc w:val="both"/>
    </w:pPr>
  </w:style>
  <w:style w:type="paragraph" w:styleId="aa">
    <w:name w:val="Balloon Text"/>
    <w:basedOn w:val="a"/>
    <w:link w:val="ab"/>
    <w:rsid w:val="00F1603D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1603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Пользователь</cp:lastModifiedBy>
  <cp:revision>7</cp:revision>
  <cp:lastPrinted>2025-08-27T06:38:00Z</cp:lastPrinted>
  <dcterms:created xsi:type="dcterms:W3CDTF">2024-09-05T17:52:00Z</dcterms:created>
  <dcterms:modified xsi:type="dcterms:W3CDTF">2025-08-27T06:40:00Z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33E605EF577947CCAC71CD77485BEABE_12</vt:lpwstr>
  </property>
</Properties>
</file>